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5"/>
      </w:pPr>
      <w:r>
        <w:rPr/>
        <w:t>Convocatoria OPD/CMD/042</w:t>
      </w:r>
    </w:p>
    <w:p>
      <w:pPr>
        <w:spacing w:before="120"/>
        <w:ind w:left="549" w:right="291" w:firstLine="0"/>
        <w:jc w:val="center"/>
        <w:rPr>
          <w:b/>
          <w:sz w:val="24"/>
        </w:rPr>
      </w:pPr>
      <w:r>
        <w:rPr>
          <w:b/>
          <w:sz w:val="24"/>
        </w:rPr>
        <w:t>“</w:t>
      </w:r>
      <w:r>
        <w:rPr>
          <w:b/>
          <w:sz w:val="20"/>
        </w:rPr>
        <w:t>ADQUISICIÓN DE BALONES DE FÚTBOL PARA EL PROGRAMA CURSOS DE VERANO 2019 DEL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rPr>
                <w:sz w:val="18"/>
              </w:rPr>
            </w:pPr>
            <w:r>
              <w:rPr>
                <w:sz w:val="18"/>
              </w:rPr>
              <w:t>Fecha Publicación</w:t>
            </w:r>
          </w:p>
        </w:tc>
        <w:tc>
          <w:tcPr>
            <w:tcW w:w="4935" w:type="dxa"/>
          </w:tcPr>
          <w:p>
            <w:pPr>
              <w:pStyle w:val="TableParagraph"/>
              <w:spacing w:line="209" w:lineRule="exact" w:before="1"/>
              <w:rPr>
                <w:sz w:val="18"/>
              </w:rPr>
            </w:pPr>
            <w:r>
              <w:rPr>
                <w:sz w:val="18"/>
              </w:rPr>
              <w:t>19 de Junio de 2019</w:t>
            </w:r>
          </w:p>
        </w:tc>
      </w:tr>
      <w:tr>
        <w:trPr>
          <w:trHeight w:val="458" w:hRule="atLeast"/>
        </w:trPr>
        <w:tc>
          <w:tcPr>
            <w:tcW w:w="4563" w:type="dxa"/>
          </w:tcPr>
          <w:p>
            <w:pPr>
              <w:pStyle w:val="TableParagraph"/>
              <w:spacing w:before="114"/>
              <w:rPr>
                <w:sz w:val="18"/>
              </w:rPr>
            </w:pPr>
            <w:r>
              <w:rPr>
                <w:sz w:val="18"/>
              </w:rPr>
              <w:t>Aclaraciones</w:t>
            </w:r>
          </w:p>
        </w:tc>
        <w:tc>
          <w:tcPr>
            <w:tcW w:w="4935" w:type="dxa"/>
          </w:tcPr>
          <w:p>
            <w:pPr>
              <w:pStyle w:val="TableParagraph"/>
              <w:spacing w:line="228" w:lineRule="exact"/>
              <w:rPr>
                <w:sz w:val="18"/>
              </w:rPr>
            </w:pPr>
            <w:r>
              <w:rPr>
                <w:sz w:val="18"/>
              </w:rPr>
              <w:t>Al teléfono 01 (33) 32 83 44 00 Ext. 3260</w:t>
            </w:r>
          </w:p>
          <w:p>
            <w:pPr>
              <w:pStyle w:val="TableParagraph"/>
              <w:spacing w:line="211" w:lineRule="exact"/>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28 de Junio de 2019 13:00 Oficinas de Contraloría</w:t>
            </w:r>
          </w:p>
          <w:p>
            <w:pPr>
              <w:pStyle w:val="TableParagraph"/>
              <w:spacing w:line="211" w:lineRule="exact"/>
              <w:rPr>
                <w:sz w:val="18"/>
              </w:rPr>
            </w:pPr>
            <w:r>
              <w:rPr>
                <w:sz w:val="18"/>
              </w:rPr>
              <w:t>Tlajomulco.</w:t>
            </w:r>
          </w:p>
        </w:tc>
      </w:tr>
      <w:tr>
        <w:trPr>
          <w:trHeight w:val="457"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935" w:type="dxa"/>
          </w:tcPr>
          <w:p>
            <w:pPr>
              <w:pStyle w:val="TableParagraph"/>
              <w:spacing w:line="227" w:lineRule="exact"/>
              <w:rPr>
                <w:sz w:val="18"/>
              </w:rPr>
            </w:pPr>
            <w:r>
              <w:rPr>
                <w:sz w:val="18"/>
              </w:rPr>
              <w:t>28 de Junio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11" w:lineRule="exact"/>
              <w:rPr>
                <w:sz w:val="18"/>
              </w:rPr>
            </w:pPr>
            <w:r>
              <w:rPr>
                <w:sz w:val="18"/>
              </w:rPr>
              <w:t>posteriores.</w:t>
            </w:r>
          </w:p>
        </w:tc>
      </w:tr>
    </w:tbl>
    <w:p>
      <w:pPr>
        <w:pStyle w:val="BodyText"/>
        <w:spacing w:before="5"/>
        <w:ind w:left="0"/>
        <w:jc w:val="left"/>
        <w:rPr>
          <w:b/>
          <w:sz w:val="22"/>
        </w:rPr>
      </w:pPr>
    </w:p>
    <w:p>
      <w:pPr>
        <w:pStyle w:val="Heading1"/>
        <w:ind w:right="291"/>
      </w:pPr>
      <w:r>
        <w:rPr/>
        <w:t>Contenido</w:t>
      </w:r>
    </w:p>
    <w:p>
      <w:pPr>
        <w:pStyle w:val="BodyText"/>
        <w:spacing w:before="0"/>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253" w:right="247"/>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863" w:hRule="atLeast"/>
        </w:trPr>
        <w:tc>
          <w:tcPr>
            <w:tcW w:w="749" w:type="dxa"/>
          </w:tcPr>
          <w:p>
            <w:pPr>
              <w:pStyle w:val="TableParagraph"/>
              <w:spacing w:before="8"/>
              <w:ind w:left="0"/>
              <w:rPr>
                <w:b/>
                <w:sz w:val="16"/>
              </w:rPr>
            </w:pPr>
          </w:p>
          <w:p>
            <w:pPr>
              <w:pStyle w:val="TableParagraph"/>
              <w:ind w:left="9"/>
              <w:jc w:val="center"/>
              <w:rPr>
                <w:sz w:val="16"/>
              </w:rPr>
            </w:pPr>
            <w:r>
              <w:rPr>
                <w:w w:val="100"/>
                <w:sz w:val="16"/>
              </w:rPr>
              <w:t>1</w:t>
            </w:r>
          </w:p>
        </w:tc>
        <w:tc>
          <w:tcPr>
            <w:tcW w:w="6832" w:type="dxa"/>
          </w:tcPr>
          <w:p>
            <w:pPr>
              <w:pStyle w:val="TableParagraph"/>
              <w:spacing w:before="11"/>
              <w:ind w:left="0"/>
              <w:rPr>
                <w:b/>
                <w:sz w:val="23"/>
              </w:rPr>
            </w:pPr>
          </w:p>
          <w:p>
            <w:pPr>
              <w:pStyle w:val="TableParagraph"/>
              <w:ind w:left="167"/>
              <w:rPr>
                <w:sz w:val="19"/>
              </w:rPr>
            </w:pPr>
            <w:r>
              <w:rPr>
                <w:sz w:val="19"/>
              </w:rPr>
              <w:t>BALON DE FÚTBOL 32 GAJO DEL #5</w:t>
            </w:r>
          </w:p>
        </w:tc>
        <w:tc>
          <w:tcPr>
            <w:tcW w:w="966" w:type="dxa"/>
          </w:tcPr>
          <w:p>
            <w:pPr>
              <w:pStyle w:val="TableParagraph"/>
              <w:spacing w:before="12"/>
              <w:ind w:left="0"/>
              <w:rPr>
                <w:b/>
                <w:sz w:val="15"/>
              </w:rPr>
            </w:pPr>
          </w:p>
          <w:p>
            <w:pPr>
              <w:pStyle w:val="TableParagraph"/>
              <w:ind w:left="253" w:right="247"/>
              <w:jc w:val="center"/>
              <w:rPr>
                <w:rFonts w:ascii="Calibri"/>
                <w:sz w:val="18"/>
              </w:rPr>
            </w:pPr>
            <w:r>
              <w:rPr>
                <w:rFonts w:ascii="Calibri"/>
                <w:sz w:val="18"/>
              </w:rPr>
              <w:t>PIEZA</w:t>
            </w:r>
          </w:p>
        </w:tc>
        <w:tc>
          <w:tcPr>
            <w:tcW w:w="901" w:type="dxa"/>
          </w:tcPr>
          <w:p>
            <w:pPr>
              <w:pStyle w:val="TableParagraph"/>
              <w:spacing w:before="12"/>
              <w:ind w:left="0"/>
              <w:rPr>
                <w:b/>
                <w:sz w:val="15"/>
              </w:rPr>
            </w:pPr>
          </w:p>
          <w:p>
            <w:pPr>
              <w:pStyle w:val="TableParagraph"/>
              <w:ind w:left="46" w:right="43"/>
              <w:jc w:val="center"/>
              <w:rPr>
                <w:rFonts w:ascii="Calibri"/>
                <w:sz w:val="18"/>
              </w:rPr>
            </w:pPr>
            <w:r>
              <w:rPr>
                <w:rFonts w:ascii="Calibri"/>
                <w:sz w:val="18"/>
              </w:rPr>
              <w:t>200</w:t>
            </w:r>
          </w:p>
        </w:tc>
      </w:tr>
      <w:tr>
        <w:trPr>
          <w:trHeight w:val="719" w:hRule="atLeast"/>
        </w:trPr>
        <w:tc>
          <w:tcPr>
            <w:tcW w:w="749" w:type="dxa"/>
          </w:tcPr>
          <w:p>
            <w:pPr>
              <w:pStyle w:val="TableParagraph"/>
              <w:spacing w:before="142"/>
              <w:ind w:left="9"/>
              <w:jc w:val="center"/>
              <w:rPr>
                <w:sz w:val="16"/>
              </w:rPr>
            </w:pPr>
            <w:r>
              <w:rPr>
                <w:w w:val="100"/>
                <w:sz w:val="16"/>
              </w:rPr>
              <w:t>2</w:t>
            </w:r>
          </w:p>
        </w:tc>
        <w:tc>
          <w:tcPr>
            <w:tcW w:w="6832" w:type="dxa"/>
          </w:tcPr>
          <w:p>
            <w:pPr>
              <w:pStyle w:val="TableParagraph"/>
              <w:spacing w:before="3"/>
              <w:ind w:left="0"/>
              <w:rPr>
                <w:b/>
                <w:sz w:val="17"/>
              </w:rPr>
            </w:pPr>
          </w:p>
          <w:p>
            <w:pPr>
              <w:pStyle w:val="TableParagraph"/>
              <w:ind w:left="69"/>
              <w:rPr>
                <w:sz w:val="19"/>
              </w:rPr>
            </w:pPr>
            <w:r>
              <w:rPr>
                <w:sz w:val="19"/>
              </w:rPr>
              <w:t>BALON DE FÚTBOL 32 GAJO DEL #4</w:t>
            </w:r>
          </w:p>
        </w:tc>
        <w:tc>
          <w:tcPr>
            <w:tcW w:w="966" w:type="dxa"/>
          </w:tcPr>
          <w:p>
            <w:pPr>
              <w:pStyle w:val="TableParagraph"/>
              <w:spacing w:before="133"/>
              <w:ind w:left="253" w:right="247"/>
              <w:jc w:val="center"/>
              <w:rPr>
                <w:rFonts w:ascii="Calibri"/>
                <w:sz w:val="18"/>
              </w:rPr>
            </w:pPr>
            <w:r>
              <w:rPr>
                <w:rFonts w:ascii="Calibri"/>
                <w:sz w:val="18"/>
              </w:rPr>
              <w:t>PIEZA</w:t>
            </w:r>
          </w:p>
        </w:tc>
        <w:tc>
          <w:tcPr>
            <w:tcW w:w="901" w:type="dxa"/>
          </w:tcPr>
          <w:p>
            <w:pPr>
              <w:pStyle w:val="TableParagraph"/>
              <w:spacing w:before="133"/>
              <w:ind w:left="46" w:right="43"/>
              <w:jc w:val="center"/>
              <w:rPr>
                <w:rFonts w:ascii="Calibri"/>
                <w:sz w:val="18"/>
              </w:rPr>
            </w:pPr>
            <w:r>
              <w:rPr>
                <w:rFonts w:ascii="Calibri"/>
                <w:sz w:val="18"/>
              </w:rPr>
              <w:t>100</w:t>
            </w:r>
          </w:p>
        </w:tc>
      </w:tr>
      <w:tr>
        <w:trPr>
          <w:trHeight w:val="4317" w:hRule="atLeast"/>
        </w:trPr>
        <w:tc>
          <w:tcPr>
            <w:tcW w:w="9448" w:type="dxa"/>
            <w:gridSpan w:val="4"/>
          </w:tcPr>
          <w:p>
            <w:pPr>
              <w:pStyle w:val="TableParagraph"/>
              <w:spacing w:line="227" w:lineRule="exact"/>
              <w:ind w:left="1065"/>
              <w:rPr>
                <w:b/>
                <w:sz w:val="18"/>
              </w:rPr>
            </w:pPr>
            <w:r>
              <w:rPr>
                <w:b/>
                <w:sz w:val="18"/>
              </w:rPr>
              <w:t>LOS BALONES DEBERÁN CONTAR CON LAS ESPECIFICACIONES MÍNIMAS SIGUIENTES:</w:t>
            </w:r>
          </w:p>
          <w:p>
            <w:pPr>
              <w:pStyle w:val="TableParagraph"/>
              <w:spacing w:before="11"/>
              <w:ind w:left="0"/>
              <w:rPr>
                <w:b/>
                <w:sz w:val="17"/>
              </w:rPr>
            </w:pPr>
          </w:p>
          <w:p>
            <w:pPr>
              <w:pStyle w:val="TableParagraph"/>
              <w:numPr>
                <w:ilvl w:val="0"/>
                <w:numId w:val="1"/>
              </w:numPr>
              <w:tabs>
                <w:tab w:pos="789" w:val="left" w:leader="none"/>
                <w:tab w:pos="790" w:val="left" w:leader="none"/>
              </w:tabs>
              <w:spacing w:line="240" w:lineRule="auto" w:before="1" w:after="0"/>
              <w:ind w:left="789" w:right="0" w:hanging="361"/>
              <w:jc w:val="left"/>
              <w:rPr>
                <w:sz w:val="22"/>
              </w:rPr>
            </w:pPr>
            <w:r>
              <w:rPr>
                <w:sz w:val="22"/>
              </w:rPr>
              <w:t>Tendrán que estar Reforzados con Doble</w:t>
            </w:r>
            <w:r>
              <w:rPr>
                <w:spacing w:val="-3"/>
                <w:sz w:val="22"/>
              </w:rPr>
              <w:t> </w:t>
            </w:r>
            <w:r>
              <w:rPr>
                <w:sz w:val="22"/>
              </w:rPr>
              <w:t>Lona.</w:t>
            </w:r>
          </w:p>
          <w:p>
            <w:pPr>
              <w:pStyle w:val="TableParagraph"/>
              <w:numPr>
                <w:ilvl w:val="0"/>
                <w:numId w:val="1"/>
              </w:numPr>
              <w:tabs>
                <w:tab w:pos="789" w:val="left" w:leader="none"/>
                <w:tab w:pos="790" w:val="left" w:leader="none"/>
              </w:tabs>
              <w:spacing w:line="296" w:lineRule="exact" w:before="0" w:after="0"/>
              <w:ind w:left="789" w:right="0" w:hanging="361"/>
              <w:jc w:val="left"/>
              <w:rPr>
                <w:sz w:val="22"/>
              </w:rPr>
            </w:pPr>
            <w:r>
              <w:rPr>
                <w:sz w:val="22"/>
              </w:rPr>
              <w:t>Material:</w:t>
            </w:r>
            <w:r>
              <w:rPr>
                <w:spacing w:val="-1"/>
                <w:sz w:val="22"/>
              </w:rPr>
              <w:t> </w:t>
            </w:r>
            <w:r>
              <w:rPr>
                <w:sz w:val="22"/>
              </w:rPr>
              <w:t>Sintético.</w:t>
            </w:r>
          </w:p>
          <w:p>
            <w:pPr>
              <w:pStyle w:val="TableParagraph"/>
              <w:numPr>
                <w:ilvl w:val="0"/>
                <w:numId w:val="1"/>
              </w:numPr>
              <w:tabs>
                <w:tab w:pos="789" w:val="left" w:leader="none"/>
                <w:tab w:pos="790" w:val="left" w:leader="none"/>
              </w:tabs>
              <w:spacing w:line="296" w:lineRule="exact" w:before="0" w:after="0"/>
              <w:ind w:left="789" w:right="0" w:hanging="361"/>
              <w:jc w:val="left"/>
              <w:rPr>
                <w:sz w:val="22"/>
              </w:rPr>
            </w:pPr>
            <w:r>
              <w:rPr>
                <w:sz w:val="22"/>
              </w:rPr>
              <w:t>Acabado: Mate.</w:t>
            </w:r>
          </w:p>
          <w:p>
            <w:pPr>
              <w:pStyle w:val="TableParagraph"/>
              <w:numPr>
                <w:ilvl w:val="0"/>
                <w:numId w:val="1"/>
              </w:numPr>
              <w:tabs>
                <w:tab w:pos="789" w:val="left" w:leader="none"/>
                <w:tab w:pos="790" w:val="left" w:leader="none"/>
              </w:tabs>
              <w:spacing w:line="240" w:lineRule="auto" w:before="1" w:after="0"/>
              <w:ind w:left="789" w:right="0" w:hanging="361"/>
              <w:jc w:val="left"/>
              <w:rPr>
                <w:sz w:val="22"/>
              </w:rPr>
            </w:pPr>
            <w:r>
              <w:rPr>
                <w:sz w:val="22"/>
              </w:rPr>
              <w:t>Forro: Sarga de</w:t>
            </w:r>
            <w:r>
              <w:rPr>
                <w:spacing w:val="-3"/>
                <w:sz w:val="22"/>
              </w:rPr>
              <w:t> </w:t>
            </w:r>
            <w:r>
              <w:rPr>
                <w:sz w:val="22"/>
              </w:rPr>
              <w:t>Algodón.</w:t>
            </w:r>
          </w:p>
          <w:p>
            <w:pPr>
              <w:pStyle w:val="TableParagraph"/>
              <w:numPr>
                <w:ilvl w:val="0"/>
                <w:numId w:val="1"/>
              </w:numPr>
              <w:tabs>
                <w:tab w:pos="789" w:val="left" w:leader="none"/>
                <w:tab w:pos="790" w:val="left" w:leader="none"/>
              </w:tabs>
              <w:spacing w:line="296" w:lineRule="exact" w:before="1" w:after="0"/>
              <w:ind w:left="789" w:right="0" w:hanging="361"/>
              <w:jc w:val="left"/>
              <w:rPr>
                <w:sz w:val="22"/>
              </w:rPr>
            </w:pPr>
            <w:r>
              <w:rPr>
                <w:sz w:val="22"/>
              </w:rPr>
              <w:t>Deberá contener Tipo de impresión en</w:t>
            </w:r>
            <w:r>
              <w:rPr>
                <w:spacing w:val="-6"/>
                <w:sz w:val="22"/>
              </w:rPr>
              <w:t> </w:t>
            </w:r>
            <w:r>
              <w:rPr>
                <w:sz w:val="22"/>
              </w:rPr>
              <w:t>Serigrafía.</w:t>
            </w:r>
          </w:p>
          <w:p>
            <w:pPr>
              <w:pStyle w:val="TableParagraph"/>
              <w:numPr>
                <w:ilvl w:val="0"/>
                <w:numId w:val="1"/>
              </w:numPr>
              <w:tabs>
                <w:tab w:pos="789" w:val="left" w:leader="none"/>
                <w:tab w:pos="790" w:val="left" w:leader="none"/>
              </w:tabs>
              <w:spacing w:line="296" w:lineRule="exact" w:before="0" w:after="0"/>
              <w:ind w:left="789" w:right="0" w:hanging="361"/>
              <w:jc w:val="left"/>
              <w:rPr>
                <w:sz w:val="22"/>
              </w:rPr>
            </w:pPr>
            <w:r>
              <w:rPr>
                <w:sz w:val="22"/>
              </w:rPr>
              <w:t>Deberá incluir cuando menos dos logotipos por</w:t>
            </w:r>
            <w:r>
              <w:rPr>
                <w:spacing w:val="-5"/>
                <w:sz w:val="22"/>
              </w:rPr>
              <w:t> </w:t>
            </w:r>
            <w:r>
              <w:rPr>
                <w:sz w:val="22"/>
              </w:rPr>
              <w:t>balón.</w:t>
            </w:r>
          </w:p>
          <w:p>
            <w:pPr>
              <w:pStyle w:val="TableParagraph"/>
              <w:numPr>
                <w:ilvl w:val="0"/>
                <w:numId w:val="1"/>
              </w:numPr>
              <w:tabs>
                <w:tab w:pos="789" w:val="left" w:leader="none"/>
                <w:tab w:pos="790" w:val="left" w:leader="none"/>
              </w:tabs>
              <w:spacing w:line="240" w:lineRule="auto" w:before="1" w:after="0"/>
              <w:ind w:left="789" w:right="0" w:hanging="361"/>
              <w:jc w:val="left"/>
              <w:rPr>
                <w:sz w:val="22"/>
              </w:rPr>
            </w:pPr>
            <w:r>
              <w:rPr>
                <w:sz w:val="22"/>
              </w:rPr>
              <w:t>Peso de 410 – 430</w:t>
            </w:r>
            <w:r>
              <w:rPr>
                <w:spacing w:val="-5"/>
                <w:sz w:val="22"/>
              </w:rPr>
              <w:t> </w:t>
            </w:r>
            <w:r>
              <w:rPr>
                <w:sz w:val="22"/>
              </w:rPr>
              <w:t>gramos.</w:t>
            </w:r>
          </w:p>
          <w:p>
            <w:pPr>
              <w:pStyle w:val="TableParagraph"/>
              <w:numPr>
                <w:ilvl w:val="0"/>
                <w:numId w:val="1"/>
              </w:numPr>
              <w:tabs>
                <w:tab w:pos="789" w:val="left" w:leader="none"/>
                <w:tab w:pos="790" w:val="left" w:leader="none"/>
              </w:tabs>
              <w:spacing w:line="240" w:lineRule="auto" w:before="1" w:after="0"/>
              <w:ind w:left="789" w:right="0" w:hanging="361"/>
              <w:jc w:val="left"/>
              <w:rPr>
                <w:sz w:val="22"/>
              </w:rPr>
            </w:pPr>
            <w:r>
              <w:rPr>
                <w:sz w:val="22"/>
              </w:rPr>
              <w:t>Circunferencia entre 65 – 68</w:t>
            </w:r>
            <w:r>
              <w:rPr>
                <w:spacing w:val="-5"/>
                <w:sz w:val="22"/>
              </w:rPr>
              <w:t> </w:t>
            </w:r>
            <w:r>
              <w:rPr>
                <w:sz w:val="22"/>
              </w:rPr>
              <w:t>centímetros.</w:t>
            </w:r>
          </w:p>
          <w:p>
            <w:pPr>
              <w:pStyle w:val="TableParagraph"/>
              <w:numPr>
                <w:ilvl w:val="0"/>
                <w:numId w:val="1"/>
              </w:numPr>
              <w:tabs>
                <w:tab w:pos="789" w:val="left" w:leader="none"/>
                <w:tab w:pos="790" w:val="left" w:leader="none"/>
              </w:tabs>
              <w:spacing w:line="296" w:lineRule="exact" w:before="0" w:after="0"/>
              <w:ind w:left="789" w:right="0" w:hanging="361"/>
              <w:jc w:val="left"/>
              <w:rPr>
                <w:sz w:val="22"/>
              </w:rPr>
            </w:pPr>
            <w:r>
              <w:rPr>
                <w:sz w:val="22"/>
              </w:rPr>
              <w:t>Presión Normal: 7</w:t>
            </w:r>
            <w:r>
              <w:rPr>
                <w:spacing w:val="-4"/>
                <w:sz w:val="22"/>
              </w:rPr>
              <w:t> </w:t>
            </w:r>
            <w:r>
              <w:rPr>
                <w:sz w:val="22"/>
              </w:rPr>
              <w:t>Libras</w:t>
            </w:r>
          </w:p>
          <w:p>
            <w:pPr>
              <w:pStyle w:val="TableParagraph"/>
              <w:numPr>
                <w:ilvl w:val="0"/>
                <w:numId w:val="1"/>
              </w:numPr>
              <w:tabs>
                <w:tab w:pos="789" w:val="left" w:leader="none"/>
                <w:tab w:pos="790" w:val="left" w:leader="none"/>
              </w:tabs>
              <w:spacing w:line="296" w:lineRule="exact" w:before="0" w:after="0"/>
              <w:ind w:left="789" w:right="0" w:hanging="361"/>
              <w:jc w:val="left"/>
              <w:rPr>
                <w:sz w:val="22"/>
              </w:rPr>
            </w:pPr>
            <w:r>
              <w:rPr>
                <w:sz w:val="22"/>
              </w:rPr>
              <w:t>Presión atmosférica de 1kg/ cm2, al nivel del</w:t>
            </w:r>
            <w:r>
              <w:rPr>
                <w:spacing w:val="-4"/>
                <w:sz w:val="22"/>
              </w:rPr>
              <w:t> </w:t>
            </w:r>
            <w:r>
              <w:rPr>
                <w:sz w:val="22"/>
              </w:rPr>
              <w:t>mar.</w:t>
            </w:r>
          </w:p>
          <w:p>
            <w:pPr>
              <w:pStyle w:val="TableParagraph"/>
              <w:numPr>
                <w:ilvl w:val="0"/>
                <w:numId w:val="1"/>
              </w:numPr>
              <w:tabs>
                <w:tab w:pos="789" w:val="left" w:leader="none"/>
                <w:tab w:pos="790" w:val="left" w:leader="none"/>
              </w:tabs>
              <w:spacing w:line="240" w:lineRule="auto" w:before="1" w:after="0"/>
              <w:ind w:left="789" w:right="0" w:hanging="361"/>
              <w:jc w:val="left"/>
              <w:rPr>
                <w:sz w:val="22"/>
              </w:rPr>
            </w:pPr>
            <w:r>
              <w:rPr>
                <w:sz w:val="22"/>
              </w:rPr>
              <w:t>Costura: cosido a mano para mayor</w:t>
            </w:r>
            <w:r>
              <w:rPr>
                <w:spacing w:val="-7"/>
                <w:sz w:val="22"/>
              </w:rPr>
              <w:t> </w:t>
            </w:r>
            <w:r>
              <w:rPr>
                <w:sz w:val="22"/>
              </w:rPr>
              <w:t>resistencia.</w:t>
            </w:r>
          </w:p>
          <w:p>
            <w:pPr>
              <w:pStyle w:val="TableParagraph"/>
              <w:numPr>
                <w:ilvl w:val="0"/>
                <w:numId w:val="1"/>
              </w:numPr>
              <w:tabs>
                <w:tab w:pos="789" w:val="left" w:leader="none"/>
                <w:tab w:pos="790" w:val="left" w:leader="none"/>
              </w:tabs>
              <w:spacing w:line="296" w:lineRule="exact" w:before="1" w:after="0"/>
              <w:ind w:left="789" w:right="0" w:hanging="361"/>
              <w:jc w:val="left"/>
              <w:rPr>
                <w:sz w:val="22"/>
              </w:rPr>
            </w:pPr>
            <w:r>
              <w:rPr>
                <w:sz w:val="22"/>
              </w:rPr>
              <w:t>Hilo de costura: Hilo</w:t>
            </w:r>
            <w:r>
              <w:rPr>
                <w:spacing w:val="-2"/>
                <w:sz w:val="22"/>
              </w:rPr>
              <w:t> </w:t>
            </w:r>
            <w:r>
              <w:rPr>
                <w:sz w:val="22"/>
              </w:rPr>
              <w:t>Nylon.</w:t>
            </w:r>
          </w:p>
          <w:p>
            <w:pPr>
              <w:pStyle w:val="TableParagraph"/>
              <w:numPr>
                <w:ilvl w:val="0"/>
                <w:numId w:val="1"/>
              </w:numPr>
              <w:tabs>
                <w:tab w:pos="789" w:val="left" w:leader="none"/>
                <w:tab w:pos="790" w:val="left" w:leader="none"/>
              </w:tabs>
              <w:spacing w:line="279" w:lineRule="exact" w:before="0" w:after="0"/>
              <w:ind w:left="789" w:right="0" w:hanging="361"/>
              <w:jc w:val="left"/>
              <w:rPr>
                <w:sz w:val="22"/>
              </w:rPr>
            </w:pPr>
            <w:r>
              <w:rPr>
                <w:sz w:val="22"/>
              </w:rPr>
              <w:t>Cámara:</w:t>
            </w:r>
            <w:r>
              <w:rPr>
                <w:spacing w:val="-1"/>
                <w:sz w:val="22"/>
              </w:rPr>
              <w:t> </w:t>
            </w:r>
            <w:r>
              <w:rPr>
                <w:sz w:val="22"/>
              </w:rPr>
              <w:t>Látex.</w:t>
            </w:r>
          </w:p>
        </w:tc>
      </w:tr>
    </w:tbl>
    <w:p>
      <w:pPr>
        <w:spacing w:after="0" w:line="279" w:lineRule="exact"/>
        <w:jc w:val="left"/>
        <w:rPr>
          <w:sz w:val="22"/>
        </w:rPr>
        <w:sectPr>
          <w:headerReference w:type="default" r:id="rId5"/>
          <w:footerReference w:type="default" r:id="rId6"/>
          <w:type w:val="continuous"/>
          <w:pgSz w:w="12240" w:h="15840"/>
          <w:pgMar w:header="312" w:footer="775" w:top="1320" w:bottom="960" w:left="1340" w:right="1080"/>
        </w:sectPr>
      </w:pPr>
    </w:p>
    <w:p>
      <w:pPr>
        <w:pStyle w:val="BodyText"/>
        <w:spacing w:before="0"/>
        <w:ind w:left="0"/>
        <w:jc w:val="left"/>
        <w:rPr>
          <w:b/>
        </w:rPr>
      </w:pPr>
    </w:p>
    <w:p>
      <w:pPr>
        <w:pStyle w:val="BodyText"/>
        <w:spacing w:before="2"/>
        <w:ind w:left="0"/>
        <w:jc w:val="left"/>
        <w:rPr>
          <w:b/>
          <w:sz w:val="27"/>
        </w:rPr>
      </w:pPr>
    </w:p>
    <w:p>
      <w:pPr>
        <w:pStyle w:val="BodyText"/>
        <w:spacing w:line="278" w:lineRule="auto" w:before="99"/>
        <w:ind w:right="105"/>
      </w:pPr>
      <w:r>
        <w:rPr/>
        <w:t>Nota: Todas las partidas adjudicadas serán entregadas en un plazo no mayor a 10 días Después de la convocatoria concluida en el domicilio Calle Constitución Ote. SN, Colonia Centro, Tlajomulco de Zúñiga, Jalisco,</w:t>
      </w:r>
    </w:p>
    <w:p>
      <w:pPr>
        <w:pStyle w:val="BodyText"/>
      </w:pPr>
      <w:r>
        <w:rPr/>
        <w:t>La compra de lo adjudicado no será mayor de acuerdo con el tope presupuestal del ejercicio en curso.</w:t>
      </w:r>
    </w:p>
    <w:p>
      <w:pPr>
        <w:pStyle w:val="BodyText"/>
        <w:spacing w:before="7"/>
        <w:ind w:left="0"/>
        <w:jc w:val="left"/>
        <w:rPr>
          <w:sz w:val="18"/>
        </w:rPr>
      </w:pPr>
    </w:p>
    <w:p>
      <w:pPr>
        <w:pStyle w:val="BodyText"/>
        <w:spacing w:line="278" w:lineRule="auto" w:before="0"/>
        <w:ind w:right="109" w:firstLine="55"/>
      </w:pPr>
      <w:r>
        <w:rPr/>
        <w:t>1.- Los invitamos a registrarse en nuestro Padrón de Proveedores, información al teléfono 32834400 ext. 3260</w:t>
      </w:r>
    </w:p>
    <w:p>
      <w:pPr>
        <w:pStyle w:val="BodyText"/>
        <w:spacing w:line="278" w:lineRule="auto"/>
        <w:ind w:right="108"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1"/>
        </w:rPr>
        <w:t> </w:t>
      </w:r>
      <w:r>
        <w:rPr/>
        <w:t>checador.</w:t>
      </w:r>
    </w:p>
    <w:p>
      <w:pPr>
        <w:pStyle w:val="BodyText"/>
        <w:spacing w:line="276" w:lineRule="auto" w:before="191"/>
        <w:ind w:right="10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0"/>
        <w:ind w:right="102"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right="111"/>
      </w:pPr>
      <w:r>
        <w:rPr/>
        <w:t>5.- El precio del bien o servicio objeto de la presente invitación, deberá estar especificado en moneda nacional, desglosando el I.V.A.</w:t>
      </w:r>
    </w:p>
    <w:p>
      <w:pPr>
        <w:pStyle w:val="BodyText"/>
        <w:spacing w:line="278" w:lineRule="auto"/>
        <w:ind w:right="107" w:firstLine="55"/>
      </w:pPr>
      <w:r>
        <w:rPr/>
        <w:t>6.- Detallar claramente las especificaciones de lo ofertado, el tiempo de entrega en días naturales y la garantía con la que cuentan.</w:t>
      </w:r>
    </w:p>
    <w:p>
      <w:pPr>
        <w:pStyle w:val="BodyText"/>
        <w:spacing w:line="278" w:lineRule="auto"/>
        <w:ind w:right="106"/>
      </w:pPr>
      <w:r>
        <w:rPr/>
        <w:t>7.- Los conceptos y partidas de la cotización deberán ser en el mismo orden que se establezcan en la convocatoria. Así como en la factura de quien resulte adjudicado.</w:t>
      </w:r>
    </w:p>
    <w:p>
      <w:pPr>
        <w:pStyle w:val="BodyText"/>
        <w:spacing w:line="278" w:lineRule="auto"/>
        <w:ind w:right="10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7"/>
        <w:ind w:left="0"/>
        <w:jc w:val="left"/>
        <w:rPr>
          <w:sz w:val="18"/>
        </w:rPr>
      </w:pPr>
    </w:p>
    <w:p>
      <w:pPr>
        <w:pStyle w:val="BodyText"/>
        <w:spacing w:line="278" w:lineRule="auto" w:before="0"/>
        <w:ind w:right="108"/>
      </w:pPr>
      <w:r>
        <w:rPr/>
        <w:t>10.- En caso de obtener la adjudicación, se le notificará que los bienes o servicios objeto de la presente Licitación le podrán ser adjudicados de manera parcial o total.</w:t>
      </w:r>
    </w:p>
    <w:p>
      <w:pPr>
        <w:pStyle w:val="BodyText"/>
        <w:spacing w:line="278" w:lineRule="auto"/>
        <w:ind w:right="110"/>
      </w:pPr>
      <w:r>
        <w:rPr/>
        <w:t>11.- A manera de poder ser evaluada la propuesta, se DEBERÁ presentar ficha técnica, manuales, certificaciones y todos los documentos que comprueben la calidad ofertada.</w:t>
      </w:r>
    </w:p>
    <w:p>
      <w:pPr>
        <w:pStyle w:val="BodyText"/>
        <w:spacing w:line="276" w:lineRule="auto"/>
        <w:ind w:right="109" w:firstLine="55"/>
      </w:pPr>
      <w:r>
        <w:rPr/>
        <w:t>12.- Se aplicará una pena convencional, sobre el importe total de bienes y/o servicios que no hayan sido recibidos o suministrados dentro del plazo establecido en la Orden de Compra, de 01 hasta 05 días el 3%</w:t>
      </w:r>
    </w:p>
    <w:p>
      <w:pPr>
        <w:spacing w:after="0" w:line="276" w:lineRule="auto"/>
        <w:sectPr>
          <w:pgSz w:w="12240" w:h="15840"/>
          <w:pgMar w:header="312" w:footer="775" w:top="1320" w:bottom="960" w:left="1340" w:right="1080"/>
        </w:sectPr>
      </w:pPr>
    </w:p>
    <w:p>
      <w:pPr>
        <w:pStyle w:val="BodyText"/>
        <w:spacing w:line="278" w:lineRule="auto" w:before="89"/>
        <w:ind w:right="99"/>
      </w:pPr>
      <w:r>
        <w:rPr/>
        <w:t>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spacing w:line="278" w:lineRule="auto" w:before="193"/>
        <w:ind w:right="103"/>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Tai Le">
    <w:altName w:val="Microsoft Tai Le"/>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1312">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00800">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9" w:hanging="360"/>
      </w:pPr>
      <w:rPr>
        <w:rFonts w:hint="default" w:ascii="Symbol" w:hAnsi="Symbol" w:eastAsia="Symbol" w:cs="Symbol"/>
        <w:w w:val="100"/>
        <w:sz w:val="22"/>
        <w:szCs w:val="22"/>
        <w:lang w:val="es-mx" w:eastAsia="en-US" w:bidi="ar-SA"/>
      </w:rPr>
    </w:lvl>
    <w:lvl w:ilvl="1">
      <w:start w:val="0"/>
      <w:numFmt w:val="bullet"/>
      <w:lvlText w:val="•"/>
      <w:lvlJc w:val="left"/>
      <w:pPr>
        <w:ind w:left="1645" w:hanging="360"/>
      </w:pPr>
      <w:rPr>
        <w:rFonts w:hint="default"/>
        <w:lang w:val="es-mx" w:eastAsia="en-US" w:bidi="ar-SA"/>
      </w:rPr>
    </w:lvl>
    <w:lvl w:ilvl="2">
      <w:start w:val="0"/>
      <w:numFmt w:val="bullet"/>
      <w:lvlText w:val="•"/>
      <w:lvlJc w:val="left"/>
      <w:pPr>
        <w:ind w:left="2511" w:hanging="360"/>
      </w:pPr>
      <w:rPr>
        <w:rFonts w:hint="default"/>
        <w:lang w:val="es-mx" w:eastAsia="en-US" w:bidi="ar-SA"/>
      </w:rPr>
    </w:lvl>
    <w:lvl w:ilvl="3">
      <w:start w:val="0"/>
      <w:numFmt w:val="bullet"/>
      <w:lvlText w:val="•"/>
      <w:lvlJc w:val="left"/>
      <w:pPr>
        <w:ind w:left="3377" w:hanging="360"/>
      </w:pPr>
      <w:rPr>
        <w:rFonts w:hint="default"/>
        <w:lang w:val="es-mx" w:eastAsia="en-US" w:bidi="ar-SA"/>
      </w:rPr>
    </w:lvl>
    <w:lvl w:ilvl="4">
      <w:start w:val="0"/>
      <w:numFmt w:val="bullet"/>
      <w:lvlText w:val="•"/>
      <w:lvlJc w:val="left"/>
      <w:pPr>
        <w:ind w:left="4243" w:hanging="360"/>
      </w:pPr>
      <w:rPr>
        <w:rFonts w:hint="default"/>
        <w:lang w:val="es-mx" w:eastAsia="en-US" w:bidi="ar-SA"/>
      </w:rPr>
    </w:lvl>
    <w:lvl w:ilvl="5">
      <w:start w:val="0"/>
      <w:numFmt w:val="bullet"/>
      <w:lvlText w:val="•"/>
      <w:lvlJc w:val="left"/>
      <w:pPr>
        <w:ind w:left="5109" w:hanging="360"/>
      </w:pPr>
      <w:rPr>
        <w:rFonts w:hint="default"/>
        <w:lang w:val="es-mx" w:eastAsia="en-US" w:bidi="ar-SA"/>
      </w:rPr>
    </w:lvl>
    <w:lvl w:ilvl="6">
      <w:start w:val="0"/>
      <w:numFmt w:val="bullet"/>
      <w:lvlText w:val="•"/>
      <w:lvlJc w:val="left"/>
      <w:pPr>
        <w:ind w:left="5974" w:hanging="360"/>
      </w:pPr>
      <w:rPr>
        <w:rFonts w:hint="default"/>
        <w:lang w:val="es-mx" w:eastAsia="en-US" w:bidi="ar-SA"/>
      </w:rPr>
    </w:lvl>
    <w:lvl w:ilvl="7">
      <w:start w:val="0"/>
      <w:numFmt w:val="bullet"/>
      <w:lvlText w:val="•"/>
      <w:lvlJc w:val="left"/>
      <w:pPr>
        <w:ind w:left="6840" w:hanging="360"/>
      </w:pPr>
      <w:rPr>
        <w:rFonts w:hint="default"/>
        <w:lang w:val="es-mx" w:eastAsia="en-US" w:bidi="ar-SA"/>
      </w:rPr>
    </w:lvl>
    <w:lvl w:ilvl="8">
      <w:start w:val="0"/>
      <w:numFmt w:val="bullet"/>
      <w:lvlText w:val="•"/>
      <w:lvlJc w:val="left"/>
      <w:pPr>
        <w:ind w:left="7706" w:hanging="360"/>
      </w:pPr>
      <w:rPr>
        <w:rFonts w:hint="default"/>
        <w:lang w:val="es-mx"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549" w:right="289"/>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2021-10-21T16:49:28Z</dcterms:created>
  <dcterms:modified xsi:type="dcterms:W3CDTF">2021-10-21T16:49:28Z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Office Word 2007</vt:lpwstr>
  </property>
  <property fmtid="{D5CDD505-2E9C-101B-9397-08002B2CF9AE}" pid="4" name="LastSaved">
    <vt:filetime>2021-10-21T00:00:00Z</vt:filetime>
  </property>
</Properties>
</file>